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keepNext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Опросный лист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для составления технико-коммерческого предложения </w:t>
      </w:r>
      <w:r/>
    </w:p>
    <w:p>
      <w:pPr>
        <w:ind w:left="-360"/>
        <w:jc w:val="center"/>
        <w:keepNext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на окрасочно-сушильную камеру.</w:t>
      </w:r>
      <w:r/>
    </w:p>
    <w:p>
      <w:pPr>
        <w:ind w:left="-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</w:r>
      <w:r/>
    </w:p>
    <w:p>
      <w:pPr>
        <w:numPr>
          <w:ilvl w:val="0"/>
          <w:numId w:val="15"/>
        </w:numPr>
        <w:tabs>
          <w:tab w:val="left" w:pos="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Информация о клиенте</w:t>
      </w:r>
      <w:r>
        <w:rPr>
          <w:rFonts w:ascii="Arial" w:hAnsi="Arial" w:cs="Arial"/>
          <w:b/>
        </w:rPr>
        <w:t xml:space="preserve">:</w:t>
      </w:r>
      <w:r/>
    </w:p>
    <w:p>
      <w:pPr>
        <w:pStyle w:val="723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и полный адрес компании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</w:t>
      </w:r>
      <w:r/>
    </w:p>
    <w:p>
      <w:pPr>
        <w:pStyle w:val="723"/>
        <w:rPr>
          <w:rFonts w:ascii="Arial" w:hAnsi="Arial" w:cs="Arial"/>
        </w:rPr>
      </w:pPr>
      <w:r>
        <w:rPr>
          <w:rFonts w:ascii="Arial" w:hAnsi="Arial" w:cs="Arial"/>
        </w:rPr>
        <w:t xml:space="preserve">Телефон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</w:t>
      </w:r>
      <w:r>
        <w:rPr>
          <w:rFonts w:ascii="Arial" w:hAnsi="Arial" w:cs="Arial"/>
        </w:rPr>
        <w:t xml:space="preserve">mail</w:t>
      </w:r>
      <w:r>
        <w:rPr>
          <w:rFonts w:ascii="Arial" w:hAnsi="Arial" w:cs="Arial"/>
        </w:rPr>
        <w:t xml:space="preserve">: _________________________</w:t>
      </w:r>
      <w:r/>
    </w:p>
    <w:p>
      <w:pPr>
        <w:pStyle w:val="723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фирмы </w:t>
      </w:r>
      <w:r>
        <w:rPr>
          <w:rFonts w:ascii="Arial" w:hAnsi="Arial"/>
        </w:rPr>
        <w:t xml:space="preserve">_</w:t>
      </w:r>
      <w:r>
        <w:rPr>
          <w:rFonts w:ascii="Arial" w:hAnsi="Arial"/>
        </w:rPr>
        <w:t xml:space="preserve">__________</w:t>
      </w:r>
      <w:r>
        <w:rPr>
          <w:rFonts w:ascii="Arial" w:hAnsi="Arial"/>
        </w:rPr>
        <w:t xml:space="preserve">________________________________</w:t>
      </w:r>
      <w:r/>
    </w:p>
    <w:p>
      <w:pPr>
        <w:pStyle w:val="723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Контактное лицо </w:t>
      </w:r>
      <w:r>
        <w:rPr>
          <w:rFonts w:ascii="Arial" w:hAnsi="Arial"/>
        </w:rPr>
        <w:t xml:space="preserve">_</w:t>
      </w:r>
      <w:r>
        <w:rPr>
          <w:rFonts w:ascii="Arial" w:hAnsi="Arial"/>
        </w:rPr>
        <w:t xml:space="preserve">__________</w:t>
      </w:r>
      <w:r>
        <w:rPr>
          <w:rFonts w:ascii="Arial" w:hAnsi="Arial"/>
        </w:rPr>
        <w:t xml:space="preserve">________________________________</w:t>
      </w:r>
      <w:r>
        <w:rPr>
          <w:rFonts w:ascii="Arial" w:hAnsi="Arial" w:cs="Arial"/>
        </w:rPr>
        <w:br/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Окрашиваемые изделия (наименование, конфигурация)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Максимальные габариты окрашиваемых изделий (</w:t>
      </w:r>
      <w:r>
        <w:rPr>
          <w:rFonts w:ascii="Arial" w:hAnsi="Arial" w:cs="Arial"/>
        </w:rPr>
        <w:t xml:space="preserve">ДхШхВ</w:t>
      </w:r>
      <w:r>
        <w:rPr>
          <w:rFonts w:ascii="Arial" w:hAnsi="Arial" w:cs="Arial"/>
        </w:rPr>
        <w:t xml:space="preserve">)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Максимальный вес окрашиваемых изделий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Способ транспортировки окрашиваемых изделий в камеру: </w:t>
      </w:r>
      <w:r/>
    </w:p>
    <w:p>
      <w:pPr>
        <w:pStyle w:val="723"/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Р</w:t>
      </w:r>
      <w:r>
        <w:rPr>
          <w:rFonts w:ascii="Arial" w:hAnsi="Arial" w:cs="Arial"/>
        </w:rPr>
        <w:t xml:space="preserve">ельсовая тележка, колесная тележка, своим ходом, конвейерная линия, иное 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Тип камеры: тупиковая / проходная.</w:t>
      </w:r>
      <w:r/>
    </w:p>
    <w:p>
      <w:pPr>
        <w:numPr>
          <w:ilvl w:val="0"/>
          <w:numId w:val="15"/>
        </w:numPr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Ворота: Распашные / подъемно-секционные с электроприводом.                                                                             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Вентканалы</w:t>
      </w:r>
      <w:r>
        <w:rPr>
          <w:rFonts w:ascii="Arial" w:hAnsi="Arial" w:cs="Arial"/>
        </w:rPr>
        <w:t xml:space="preserve"> (углубления в фундаменте на 1м) / боковой отсос воздуха (пандусы) / металлическое основание под камеру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Вид энергоносителя: </w:t>
      </w:r>
      <w:r/>
    </w:p>
    <w:p>
      <w:pPr>
        <w:ind w:left="360"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</w:t>
      </w:r>
      <w:r>
        <w:rPr>
          <w:rFonts w:ascii="Arial" w:hAnsi="Arial" w:cs="Arial"/>
        </w:rPr>
        <w:t xml:space="preserve">изель, природный газ, горячая вода, перегретый пар, электричество</w:t>
      </w:r>
      <w:r/>
    </w:p>
    <w:p>
      <w:pPr>
        <w:numPr>
          <w:ilvl w:val="0"/>
          <w:numId w:val="15"/>
        </w:numPr>
        <w:ind w:right="15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Высота от пола помещения до крышных перекрытий или ближайшего препятствия (крюк кран-балки)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Лифт-площадки</w:t>
      </w:r>
      <w:r>
        <w:rPr>
          <w:rFonts w:ascii="Arial" w:hAnsi="Arial" w:cs="Arial"/>
          <w:lang w:val="en-US"/>
        </w:rPr>
        <w:t xml:space="preserve"> 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Автоматическая система пожаротушения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Применяемые лакокрасочные материалы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Производительность (кол-во окрашиваемых изделий в смену)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смен в сутки</w:t>
      </w:r>
      <w:r/>
    </w:p>
    <w:p>
      <w:pPr>
        <w:numPr>
          <w:ilvl w:val="0"/>
          <w:numId w:val="15"/>
        </w:numPr>
        <w:ind w:right="533"/>
        <w:spacing w:line="360" w:lineRule="auto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Температура сушки в камере</w:t>
      </w:r>
      <w:r/>
    </w:p>
    <w:p>
      <w:pPr>
        <w:ind w:left="720" w:right="533" w:firstLine="0"/>
        <w:spacing w:line="360" w:lineRule="auto"/>
        <w:tabs>
          <w:tab w:val="left" w:pos="360" w:leader="none"/>
        </w:tabs>
        <w:rPr>
          <w:rFonts w:ascii="Arial" w:hAnsi="Arial" w:cs="Arial"/>
        </w:rPr>
      </w:pPr>
      <w:r/>
      <w:bookmarkStart w:id="0" w:name="_GoBack"/>
      <w:r/>
      <w:bookmarkEnd w:id="0"/>
      <w:r/>
      <w:r/>
    </w:p>
    <w:p>
      <w:pPr>
        <w:ind w:right="535"/>
        <w:tabs>
          <w:tab w:val="left" w:pos="36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Для составления технической документации на стадии заключения Договора нам потребуется чертеж цеха (помещения, участка) в котором будет устанавливаться камера.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Просим заранее это предусмотреть.</w:t>
      </w:r>
      <w:r/>
    </w:p>
    <w:p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667" w:right="707" w:bottom="568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nsolas">
    <w:panose1 w:val="020B0609020204030204"/>
  </w:font>
  <w:font w:name="Bookman Old Style">
    <w:panose1 w:val="02060603050605020204"/>
  </w:font>
  <w:font w:name="NanumGothic">
    <w:panose1 w:val="020D0604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ind w:right="992" w:hanging="156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569282" cy="564488"/>
              <wp:effectExtent l="19050" t="0" r="0" b="0"/>
              <wp:docPr id="2" name="Рисунок 3" descr="нижний колонтитул.jp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й колонтитул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0187" cy="564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0pt;height:44.4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ind w:hanging="156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569282" cy="1539515"/>
              <wp:effectExtent l="19050" t="0" r="0" b="0"/>
              <wp:docPr id="1" name="Рисунок 2" descr="верхний колонтитул.jp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ерхний колонтитул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4078" cy="1538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6.0pt;height:121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  <w:b w:val="0"/>
        <w:color w:val="auto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-360" w:hanging="360"/>
      </w:pPr>
      <w:rPr>
        <w:rFonts w:ascii="NanumGothic" w:hAnsi="NanumGothic" w:hint="default"/>
        <w:spacing w:val="0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  <w:rPr>
        <w:rFonts w:ascii="NanumGothic" w:hAnsi="NanumGothic" w:hint="default"/>
        <w:spacing w:val="0"/>
        <w:sz w:val="20"/>
      </w:r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  <w:rPr>
        <w:rFonts w:ascii="NanumGothic" w:hAnsi="NanumGothic" w:hint="default"/>
        <w:spacing w:val="0"/>
        <w:sz w:val="20"/>
      </w:r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  <w:rPr>
        <w:rFonts w:ascii="NanumGothic" w:hAnsi="NanumGothic" w:hint="default"/>
        <w:spacing w:val="0"/>
        <w:sz w:val="20"/>
      </w:r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  <w:rPr>
        <w:rFonts w:ascii="NanumGothic" w:hAnsi="NanumGothic" w:hint="default"/>
        <w:spacing w:val="0"/>
        <w:sz w:val="20"/>
      </w:r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  <w:rPr>
        <w:rFonts w:ascii="NanumGothic" w:hAnsi="NanumGothic" w:hint="default"/>
        <w:spacing w:val="0"/>
        <w:sz w:val="20"/>
      </w:r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  <w:rPr>
        <w:rFonts w:ascii="NanumGothic" w:hAnsi="NanumGothic" w:hint="default"/>
        <w:spacing w:val="0"/>
        <w:sz w:val="20"/>
      </w:r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  <w:rPr>
        <w:rFonts w:ascii="NanumGothic" w:hAnsi="NanumGothic" w:hint="default"/>
        <w:spacing w:val="0"/>
        <w:sz w:val="20"/>
      </w:r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  <w:rPr>
        <w:rFonts w:ascii="NanumGothic" w:hAnsi="NanumGothic" w:hint="default"/>
        <w:spacing w:val="0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8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70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5"/>
    <w:next w:val="70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5"/>
    <w:next w:val="70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5"/>
    <w:next w:val="70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5"/>
    <w:next w:val="70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5"/>
    <w:next w:val="70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5"/>
    <w:next w:val="70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5"/>
    <w:next w:val="70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5"/>
    <w:next w:val="70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7"/>
    <w:link w:val="730"/>
    <w:uiPriority w:val="10"/>
    <w:rPr>
      <w:sz w:val="48"/>
      <w:szCs w:val="48"/>
    </w:rPr>
  </w:style>
  <w:style w:type="paragraph" w:styleId="34">
    <w:name w:val="Subtitle"/>
    <w:basedOn w:val="705"/>
    <w:next w:val="70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7"/>
    <w:link w:val="34"/>
    <w:uiPriority w:val="11"/>
    <w:rPr>
      <w:sz w:val="24"/>
      <w:szCs w:val="24"/>
    </w:rPr>
  </w:style>
  <w:style w:type="paragraph" w:styleId="36">
    <w:name w:val="Quote"/>
    <w:basedOn w:val="705"/>
    <w:next w:val="70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5"/>
    <w:next w:val="70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7"/>
    <w:link w:val="710"/>
    <w:uiPriority w:val="99"/>
  </w:style>
  <w:style w:type="character" w:styleId="43">
    <w:name w:val="Footer Char"/>
    <w:basedOn w:val="707"/>
    <w:link w:val="711"/>
    <w:uiPriority w:val="99"/>
  </w:style>
  <w:style w:type="paragraph" w:styleId="44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11"/>
    <w:uiPriority w:val="99"/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7"/>
    <w:uiPriority w:val="99"/>
    <w:unhideWhenUsed/>
    <w:rPr>
      <w:vertAlign w:val="superscript"/>
    </w:rPr>
  </w:style>
  <w:style w:type="paragraph" w:styleId="176">
    <w:name w:val="endnote text"/>
    <w:basedOn w:val="70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7"/>
    <w:uiPriority w:val="99"/>
    <w:semiHidden/>
    <w:unhideWhenUsed/>
    <w:rPr>
      <w:vertAlign w:val="superscript"/>
    </w:rPr>
  </w:style>
  <w:style w:type="paragraph" w:styleId="179">
    <w:name w:val="toc 1"/>
    <w:basedOn w:val="705"/>
    <w:next w:val="70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5"/>
    <w:next w:val="70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5"/>
    <w:next w:val="70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5"/>
    <w:next w:val="70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5"/>
    <w:next w:val="70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5"/>
    <w:next w:val="70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5"/>
    <w:next w:val="70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5"/>
    <w:next w:val="70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5"/>
    <w:next w:val="70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5"/>
    <w:next w:val="705"/>
    <w:uiPriority w:val="99"/>
    <w:unhideWhenUsed/>
    <w:pPr>
      <w:spacing w:after="0" w:afterAutospacing="0"/>
    </w:pPr>
  </w:style>
  <w:style w:type="paragraph" w:styleId="705" w:default="1">
    <w:name w:val="Normal"/>
    <w:qFormat/>
    <w:rPr>
      <w:sz w:val="24"/>
      <w:szCs w:val="24"/>
    </w:rPr>
  </w:style>
  <w:style w:type="paragraph" w:styleId="706">
    <w:name w:val="Heading 1"/>
    <w:basedOn w:val="705"/>
    <w:link w:val="717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paragraph" w:styleId="710">
    <w:name w:val="Header"/>
    <w:basedOn w:val="705"/>
    <w:link w:val="729"/>
    <w:pPr>
      <w:tabs>
        <w:tab w:val="center" w:pos="4677" w:leader="none"/>
        <w:tab w:val="right" w:pos="9355" w:leader="none"/>
      </w:tabs>
    </w:pPr>
  </w:style>
  <w:style w:type="paragraph" w:styleId="711">
    <w:name w:val="Footer"/>
    <w:basedOn w:val="705"/>
    <w:pPr>
      <w:tabs>
        <w:tab w:val="center" w:pos="4677" w:leader="none"/>
        <w:tab w:val="right" w:pos="9355" w:leader="none"/>
      </w:tabs>
    </w:pPr>
  </w:style>
  <w:style w:type="paragraph" w:styleId="712">
    <w:name w:val="Balloon Text"/>
    <w:basedOn w:val="705"/>
    <w:link w:val="713"/>
    <w:rPr>
      <w:rFonts w:ascii="Tahoma" w:hAnsi="Tahoma" w:cs="Tahoma"/>
      <w:sz w:val="16"/>
      <w:szCs w:val="16"/>
    </w:rPr>
  </w:style>
  <w:style w:type="character" w:styleId="713" w:customStyle="1">
    <w:name w:val="Текст выноски Знак"/>
    <w:basedOn w:val="707"/>
    <w:link w:val="712"/>
    <w:rPr>
      <w:rFonts w:ascii="Tahoma" w:hAnsi="Tahoma" w:cs="Tahoma"/>
      <w:sz w:val="16"/>
      <w:szCs w:val="16"/>
    </w:rPr>
  </w:style>
  <w:style w:type="paragraph" w:styleId="714">
    <w:name w:val="Body Text 2"/>
    <w:basedOn w:val="705"/>
    <w:link w:val="715"/>
    <w:pPr>
      <w:jc w:val="both"/>
    </w:pPr>
    <w:rPr>
      <w:sz w:val="28"/>
      <w:szCs w:val="20"/>
      <w:u w:val="single"/>
      <w:lang w:val="en-US"/>
    </w:rPr>
  </w:style>
  <w:style w:type="character" w:styleId="715" w:customStyle="1">
    <w:name w:val="Основной текст 2 Знак"/>
    <w:basedOn w:val="707"/>
    <w:link w:val="714"/>
    <w:rPr>
      <w:sz w:val="28"/>
      <w:u w:val="single"/>
      <w:lang w:val="en-US"/>
    </w:rPr>
  </w:style>
  <w:style w:type="character" w:styleId="716">
    <w:name w:val="Hyperlink"/>
    <w:basedOn w:val="707"/>
    <w:unhideWhenUsed/>
    <w:rPr>
      <w:color w:val="0000FF"/>
      <w:u w:val="single"/>
    </w:rPr>
  </w:style>
  <w:style w:type="character" w:styleId="717" w:customStyle="1">
    <w:name w:val="Заголовок 1 Знак"/>
    <w:basedOn w:val="707"/>
    <w:link w:val="706"/>
    <w:uiPriority w:val="9"/>
    <w:rPr>
      <w:b/>
      <w:bCs/>
      <w:sz w:val="48"/>
      <w:szCs w:val="48"/>
    </w:rPr>
  </w:style>
  <w:style w:type="table" w:styleId="718">
    <w:name w:val="Table Grid"/>
    <w:basedOn w:val="70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9">
    <w:name w:val="Body Text Indent 3"/>
    <w:basedOn w:val="705"/>
    <w:link w:val="720"/>
    <w:uiPriority w:val="99"/>
    <w:pPr>
      <w:ind w:left="283"/>
      <w:spacing w:after="120"/>
    </w:pPr>
    <w:rPr>
      <w:sz w:val="16"/>
      <w:szCs w:val="16"/>
    </w:rPr>
  </w:style>
  <w:style w:type="character" w:styleId="720" w:customStyle="1">
    <w:name w:val="Основной текст с отступом 3 Знак"/>
    <w:basedOn w:val="707"/>
    <w:link w:val="719"/>
    <w:uiPriority w:val="99"/>
    <w:rPr>
      <w:sz w:val="16"/>
      <w:szCs w:val="16"/>
    </w:rPr>
  </w:style>
  <w:style w:type="paragraph" w:styleId="721">
    <w:name w:val="No Spacing"/>
    <w:basedOn w:val="705"/>
    <w:uiPriority w:val="1"/>
    <w:qFormat/>
    <w:rPr>
      <w:rFonts w:ascii="Calibri" w:hAnsi="Calibri" w:cs="Calibri" w:eastAsiaTheme="minorHAnsi"/>
      <w:sz w:val="22"/>
      <w:szCs w:val="22"/>
    </w:rPr>
  </w:style>
  <w:style w:type="paragraph" w:styleId="722">
    <w:name w:val="Normal (Web)"/>
    <w:basedOn w:val="705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styleId="723">
    <w:name w:val="List Paragraph"/>
    <w:basedOn w:val="705"/>
    <w:uiPriority w:val="34"/>
    <w:qFormat/>
    <w:pPr>
      <w:contextualSpacing/>
      <w:ind w:left="720"/>
    </w:pPr>
  </w:style>
  <w:style w:type="paragraph" w:styleId="724" w:customStyle="1">
    <w:name w:val="formattext"/>
    <w:basedOn w:val="705"/>
    <w:pPr>
      <w:spacing w:before="100" w:beforeAutospacing="1" w:after="100" w:afterAutospacing="1"/>
    </w:pPr>
  </w:style>
  <w:style w:type="paragraph" w:styleId="725" w:customStyle="1">
    <w:name w:val="headertext"/>
    <w:basedOn w:val="705"/>
    <w:pPr>
      <w:spacing w:before="100" w:beforeAutospacing="1" w:after="100" w:afterAutospacing="1"/>
    </w:pPr>
  </w:style>
  <w:style w:type="paragraph" w:styleId="726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727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728" w:customStyle="1">
    <w:name w:val="blk"/>
    <w:basedOn w:val="707"/>
  </w:style>
  <w:style w:type="character" w:styleId="729" w:customStyle="1">
    <w:name w:val="Верхний колонтитул Знак"/>
    <w:basedOn w:val="707"/>
    <w:link w:val="710"/>
    <w:rPr>
      <w:sz w:val="24"/>
      <w:szCs w:val="24"/>
    </w:rPr>
  </w:style>
  <w:style w:type="paragraph" w:styleId="730">
    <w:name w:val="Title"/>
    <w:basedOn w:val="705"/>
    <w:link w:val="731"/>
    <w:qFormat/>
    <w:pPr>
      <w:jc w:val="center"/>
    </w:pPr>
    <w:rPr>
      <w:b/>
      <w:i/>
      <w:sz w:val="32"/>
      <w:szCs w:val="20"/>
      <w:lang w:val="en-US"/>
    </w:rPr>
  </w:style>
  <w:style w:type="character" w:styleId="731" w:customStyle="1">
    <w:name w:val="Заголовок Знак"/>
    <w:basedOn w:val="707"/>
    <w:link w:val="730"/>
    <w:rPr>
      <w:b/>
      <w:i/>
      <w:sz w:val="32"/>
      <w:lang w:val="en-US"/>
    </w:rPr>
  </w:style>
  <w:style w:type="paragraph" w:styleId="732">
    <w:name w:val="Block Text"/>
    <w:basedOn w:val="705"/>
    <w:pPr>
      <w:ind w:left="-851" w:right="-766"/>
    </w:pPr>
    <w:rPr>
      <w:rFonts w:ascii="Bookman Old Style" w:hAnsi="Bookman Old Style"/>
      <w:sz w:val="20"/>
      <w:szCs w:val="20"/>
    </w:rPr>
  </w:style>
  <w:style w:type="paragraph" w:styleId="733">
    <w:name w:val="Plain Text"/>
    <w:basedOn w:val="705"/>
    <w:link w:val="734"/>
    <w:uiPriority w:val="99"/>
    <w:semiHidden/>
    <w:unhideWhenUsed/>
    <w:rPr>
      <w:rFonts w:ascii="Calibri" w:hAnsi="Calibri" w:cs="Consolas" w:eastAsiaTheme="minorHAnsi"/>
      <w:sz w:val="22"/>
      <w:szCs w:val="21"/>
      <w:lang w:eastAsia="en-US"/>
    </w:rPr>
  </w:style>
  <w:style w:type="character" w:styleId="734" w:customStyle="1">
    <w:name w:val="Текст Знак"/>
    <w:basedOn w:val="707"/>
    <w:link w:val="733"/>
    <w:uiPriority w:val="99"/>
    <w:semiHidden/>
    <w:rPr>
      <w:rFonts w:ascii="Calibri" w:hAnsi="Calibri" w:cs="Consolas" w:eastAsiaTheme="minorHAnsi"/>
      <w:sz w:val="22"/>
      <w:szCs w:val="21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7297659-B730-4399-919A-588E0B8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a.mironuk</dc:creator>
  <cp:lastModifiedBy>Андрей Салтанов</cp:lastModifiedBy>
  <cp:revision>5</cp:revision>
  <dcterms:created xsi:type="dcterms:W3CDTF">2023-07-21T05:49:00Z</dcterms:created>
  <dcterms:modified xsi:type="dcterms:W3CDTF">2023-07-21T06:12:14Z</dcterms:modified>
</cp:coreProperties>
</file>